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90" w:lineRule="atLeast"/>
        <w:ind w:left="300" w:right="300"/>
        <w:jc w:val="center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  <w:t>专利代理服务采购</w:t>
      </w:r>
      <w:r>
        <w:rPr>
          <w:rFonts w:ascii="仿宋_GB2312" w:hAnsi="仿宋_GB2312" w:eastAsia="仿宋_GB2312" w:cs="仿宋_GB2312"/>
          <w:b w:val="0"/>
          <w:kern w:val="2"/>
          <w:sz w:val="24"/>
          <w:szCs w:val="24"/>
        </w:rPr>
        <w:t>项目</w:t>
      </w:r>
      <w:bookmarkStart w:id="0" w:name="_Hlk24588980"/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  <w:t>竞争性磋商</w:t>
      </w:r>
      <w:bookmarkEnd w:id="0"/>
      <w:r>
        <w:rPr>
          <w:rFonts w:ascii="仿宋_GB2312" w:hAnsi="仿宋_GB2312" w:eastAsia="仿宋_GB2312" w:cs="仿宋_GB2312"/>
          <w:b w:val="0"/>
          <w:kern w:val="2"/>
          <w:sz w:val="24"/>
          <w:szCs w:val="24"/>
        </w:rPr>
        <w:t xml:space="preserve">更正公告 </w:t>
      </w:r>
    </w:p>
    <w:p>
      <w:pPr>
        <w:pStyle w:val="7"/>
        <w:widowControl/>
        <w:spacing w:beforeAutospacing="0" w:afterAutospacing="0" w:line="480" w:lineRule="atLeast"/>
        <w:ind w:left="300" w:right="300"/>
        <w:jc w:val="center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[项目编号：KJC(JC)/F-20191209-040 ]</w:t>
      </w: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专利代理服务采购竞争性磋商项目，现发布更正公告。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一、采购人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1．名称：江苏建筑职业技术学院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2．地址：江苏省徐州市学苑路26号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3. 采购项目联系人：黄老师  联系电话：13852138169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二、项目编号：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KJC(JC)/F-20191209-040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三、更正事项、内容</w:t>
      </w: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原招标文件中12.3.3的评分细则，</w:t>
      </w:r>
      <w:r>
        <w:rPr>
          <w:rFonts w:hint="eastAsia" w:ascii="华文仿宋" w:hAnsi="华文仿宋" w:eastAsia="华文仿宋" w:cs="华文仿宋"/>
          <w:b/>
          <w:sz w:val="24"/>
        </w:rPr>
        <w:t>现修改为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0"/>
        <w:gridCol w:w="818"/>
        <w:gridCol w:w="5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评审因素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分值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磋商报价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30分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30分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满足磋商文件要求且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磋商价格最低的报价为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基准价，其价格分为满分，其他磋商人的价格分按下列公示计算：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磋商报价得分=（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基准价/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磋商报价）×30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7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基本分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30分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30分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能够提供专利代理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资质及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基本业务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能力证明材料。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服务承诺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服务能力指标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对于专利代理的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授权率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后期维护指标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6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pacing w:val="-6"/>
                <w:szCs w:val="21"/>
              </w:rPr>
              <w:t>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专利代理机构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能够及时维护，及时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维护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反馈相关信息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服务态度及承诺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及时响应，服务热情，共担风险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成果转化指标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代理机构促成成果转化率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其他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代理机构业绩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代理机构提供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2015年1月1日以后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专利授权率证明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每一个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专利授权率证明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得2分（最高10分）。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提供江苏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省内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高校近三年代理专利授权率证明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每提供一个加1分（最高5分)。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u w:val="single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（注：同一业绩不重复得分）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磋商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文件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5分</w:t>
            </w:r>
          </w:p>
        </w:tc>
        <w:tc>
          <w:tcPr>
            <w:tcW w:w="516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根据磋商文件对磋商文件的响应情况、表述清晰程度、规范性，制作等酌情评分。</w:t>
            </w:r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widowControl/>
        <w:jc w:val="left"/>
        <w:textAlignment w:val="center"/>
        <w:rPr>
          <w:rFonts w:ascii="宋体" w:hAnsi="宋体" w:cs="宋体"/>
          <w:kern w:val="0"/>
          <w:szCs w:val="21"/>
          <w:lang w:bidi="ar"/>
        </w:rPr>
      </w:pPr>
    </w:p>
    <w:p>
      <w:pPr>
        <w:rPr>
          <w:rFonts w:ascii="仿宋_GB2312" w:hAnsi="仿宋_GB2312" w:eastAsia="仿宋_GB2312" w:cs="仿宋_GB2312"/>
          <w:b/>
          <w:bCs/>
          <w:szCs w:val="21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更正日期：2019年12月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日。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磋商响应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文件报送时间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更正为：2019年12月23日14:10-14:40</w:t>
      </w:r>
    </w:p>
    <w:p>
      <w:pPr>
        <w:widowControl/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资格审查时间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更正为：2019年12月23日14:10-14:40</w:t>
      </w:r>
    </w:p>
    <w:p>
      <w:pPr>
        <w:widowControl/>
        <w:numPr>
          <w:ilvl w:val="0"/>
          <w:numId w:val="0"/>
        </w:numPr>
        <w:ind w:firstLine="420" w:firstLineChars="200"/>
        <w:jc w:val="left"/>
        <w:rPr>
          <w:rFonts w:hint="default" w:ascii="仿宋_GB2312" w:hAnsi="仿宋_GB2312" w:eastAsia="仿宋_GB2312" w:cs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磋商时间更正为：2019年12月23日14:40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、其他事项不变。</w:t>
      </w:r>
    </w:p>
    <w:p>
      <w:pPr>
        <w:widowControl/>
        <w:ind w:firstLine="4410" w:firstLineChars="2100"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ind w:firstLine="4410" w:firstLineChars="2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江苏建筑职业技术学院国资处</w:t>
      </w:r>
    </w:p>
    <w:p>
      <w:pPr>
        <w:ind w:firstLine="5040" w:firstLineChars="24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2019年12月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日</w:t>
      </w:r>
    </w:p>
    <w:p>
      <w:pPr>
        <w:ind w:firstLine="5040" w:firstLineChars="2400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ind w:firstLine="5040" w:firstLineChars="2400"/>
        <w:rPr>
          <w:rFonts w:hint="default" w:ascii="仿宋_GB2312" w:hAnsi="仿宋_GB2312" w:eastAsia="仿宋_GB2312" w:cs="仿宋_GB2312"/>
          <w:color w:val="000000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F6138"/>
    <w:multiLevelType w:val="singleLevel"/>
    <w:tmpl w:val="85EF613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67553D"/>
    <w:multiLevelType w:val="singleLevel"/>
    <w:tmpl w:val="7467553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71"/>
    <w:rsid w:val="000853D2"/>
    <w:rsid w:val="001452E5"/>
    <w:rsid w:val="00165EB8"/>
    <w:rsid w:val="001840C1"/>
    <w:rsid w:val="001A303E"/>
    <w:rsid w:val="001E5B81"/>
    <w:rsid w:val="00253A06"/>
    <w:rsid w:val="00260B22"/>
    <w:rsid w:val="002F211D"/>
    <w:rsid w:val="00347D14"/>
    <w:rsid w:val="00362CE4"/>
    <w:rsid w:val="003E06D4"/>
    <w:rsid w:val="004401FF"/>
    <w:rsid w:val="00464095"/>
    <w:rsid w:val="004A790B"/>
    <w:rsid w:val="005245F6"/>
    <w:rsid w:val="00646FE1"/>
    <w:rsid w:val="0077672B"/>
    <w:rsid w:val="00811009"/>
    <w:rsid w:val="008151D9"/>
    <w:rsid w:val="00A21D39"/>
    <w:rsid w:val="00AB7E19"/>
    <w:rsid w:val="00B82771"/>
    <w:rsid w:val="00BD0C6C"/>
    <w:rsid w:val="00BD59CA"/>
    <w:rsid w:val="00C17793"/>
    <w:rsid w:val="00C344C3"/>
    <w:rsid w:val="00D43924"/>
    <w:rsid w:val="00D57A01"/>
    <w:rsid w:val="00DC0379"/>
    <w:rsid w:val="00DD0F90"/>
    <w:rsid w:val="00EC5884"/>
    <w:rsid w:val="00FE192B"/>
    <w:rsid w:val="039025D9"/>
    <w:rsid w:val="04FB3918"/>
    <w:rsid w:val="07196086"/>
    <w:rsid w:val="080C5304"/>
    <w:rsid w:val="0839167B"/>
    <w:rsid w:val="085A0F1D"/>
    <w:rsid w:val="0E2E4123"/>
    <w:rsid w:val="0F696821"/>
    <w:rsid w:val="12220BDB"/>
    <w:rsid w:val="227134DA"/>
    <w:rsid w:val="22C4187E"/>
    <w:rsid w:val="29436734"/>
    <w:rsid w:val="2D266559"/>
    <w:rsid w:val="359206DB"/>
    <w:rsid w:val="35ED1833"/>
    <w:rsid w:val="40233006"/>
    <w:rsid w:val="41FE08DC"/>
    <w:rsid w:val="43701F83"/>
    <w:rsid w:val="445130FF"/>
    <w:rsid w:val="49564FBB"/>
    <w:rsid w:val="496626FC"/>
    <w:rsid w:val="49AC40CF"/>
    <w:rsid w:val="4F7D5145"/>
    <w:rsid w:val="54783916"/>
    <w:rsid w:val="562A735B"/>
    <w:rsid w:val="58321DED"/>
    <w:rsid w:val="6509590F"/>
    <w:rsid w:val="65662664"/>
    <w:rsid w:val="67126A5D"/>
    <w:rsid w:val="67186882"/>
    <w:rsid w:val="68A91794"/>
    <w:rsid w:val="68E81CA3"/>
    <w:rsid w:val="6D687D10"/>
    <w:rsid w:val="74540A2B"/>
    <w:rsid w:val="7725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2">
    <w:name w:val="标题 3 Char"/>
    <w:link w:val="3"/>
    <w:qFormat/>
    <w:uiPriority w:val="0"/>
    <w:rPr>
      <w:rFonts w:ascii="Times New Roman" w:hAnsi="Times New Roman"/>
      <w:b/>
      <w:sz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apple-converted-space"/>
    <w:basedOn w:val="9"/>
    <w:qFormat/>
    <w:uiPriority w:val="0"/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pubdate-month"/>
    <w:basedOn w:val="9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9">
    <w:name w:val="item-name"/>
    <w:basedOn w:val="9"/>
    <w:qFormat/>
    <w:uiPriority w:val="0"/>
  </w:style>
  <w:style w:type="character" w:customStyle="1" w:styleId="20">
    <w:name w:val="item-name1"/>
    <w:basedOn w:val="9"/>
    <w:qFormat/>
    <w:uiPriority w:val="0"/>
  </w:style>
  <w:style w:type="character" w:customStyle="1" w:styleId="21">
    <w:name w:val="pubdate-day"/>
    <w:basedOn w:val="9"/>
    <w:qFormat/>
    <w:uiPriority w:val="0"/>
    <w:rPr>
      <w:shd w:val="clear" w:color="auto" w:fill="F2F2F2"/>
    </w:rPr>
  </w:style>
  <w:style w:type="character" w:customStyle="1" w:styleId="22">
    <w:name w:val="font11"/>
    <w:qFormat/>
    <w:uiPriority w:val="0"/>
    <w:rPr>
      <w:rFonts w:hint="default" w:ascii="方正兰亭黑简体" w:hAnsi="方正兰亭黑简体" w:eastAsia="方正兰亭黑简体" w:cs="方正兰亭黑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365</Words>
  <Characters>2086</Characters>
  <Lines>17</Lines>
  <Paragraphs>4</Paragraphs>
  <TotalTime>16</TotalTime>
  <ScaleCrop>false</ScaleCrop>
  <LinksUpToDate>false</LinksUpToDate>
  <CharactersWithSpaces>2447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2017-12-04T08:12:00Z</dcterms:created>
  <dc:creator>Administrator</dc:creator>
  <cp:lastModifiedBy>舞动的叶</cp:lastModifiedBy>
  <cp:lastPrinted>2018-04-24T02:23:00Z</cp:lastPrinted>
  <dcterms:modified xsi:type="dcterms:W3CDTF">2019-12-10T01:41:35Z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